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3B20" w14:textId="17C72C0E" w:rsidR="00343DA3" w:rsidRPr="0044316F" w:rsidRDefault="0044316F" w:rsidP="0044316F">
      <w:pPr>
        <w:ind w:right="-330"/>
        <w:jc w:val="both"/>
        <w:rPr>
          <w:rFonts w:ascii="Book Antiqua" w:hAnsi="Book Antiqua"/>
          <w:sz w:val="21"/>
          <w:szCs w:val="21"/>
          <w:u w:val="single"/>
        </w:rPr>
      </w:pPr>
      <w:r w:rsidRPr="0044316F">
        <w:rPr>
          <w:rFonts w:ascii="Book Antiqua" w:hAnsi="Book Antiqua"/>
          <w:sz w:val="21"/>
          <w:szCs w:val="21"/>
          <w:u w:val="single"/>
        </w:rPr>
        <w:t>Securities and Exchange Board of India (Listing Obligations and Disclosure Requirements) Regulations, 2015 In terms of Regulation 30(5) – Contact Details of KMP, s for the purpose of determining materiality of an event or Information</w:t>
      </w:r>
      <w:r w:rsidRPr="0044316F">
        <w:rPr>
          <w:rFonts w:ascii="Book Antiqua" w:hAnsi="Book Antiqua"/>
          <w:sz w:val="21"/>
          <w:szCs w:val="21"/>
          <w:u w:val="single"/>
        </w:rPr>
        <w:t>.</w:t>
      </w:r>
    </w:p>
    <w:p w14:paraId="2EE41440" w14:textId="77777777" w:rsidR="0044316F" w:rsidRDefault="0044316F" w:rsidP="0044316F">
      <w:pPr>
        <w:ind w:right="-330"/>
        <w:jc w:val="both"/>
        <w:rPr>
          <w:rFonts w:ascii="Book Antiqua" w:hAnsi="Book Antiqua"/>
          <w:sz w:val="21"/>
          <w:szCs w:val="21"/>
        </w:rPr>
      </w:pPr>
    </w:p>
    <w:p w14:paraId="6498FEC3" w14:textId="02722873" w:rsidR="0044316F" w:rsidRDefault="0044316F" w:rsidP="0044316F">
      <w:pPr>
        <w:ind w:right="-330"/>
        <w:jc w:val="both"/>
        <w:rPr>
          <w:rFonts w:ascii="Book Antiqua" w:hAnsi="Book Antiqua"/>
          <w:sz w:val="21"/>
          <w:szCs w:val="21"/>
        </w:rPr>
      </w:pPr>
      <w:r w:rsidRPr="0044316F">
        <w:rPr>
          <w:rFonts w:ascii="Book Antiqua" w:hAnsi="Book Antiqua"/>
          <w:sz w:val="21"/>
          <w:szCs w:val="21"/>
        </w:rPr>
        <w:t>In terms of Regulation 30(5) of the Listing Regulations the Board of Directors of the Company</w:t>
      </w:r>
      <w:r>
        <w:rPr>
          <w:rFonts w:ascii="Book Antiqua" w:hAnsi="Book Antiqua"/>
          <w:sz w:val="21"/>
          <w:szCs w:val="21"/>
        </w:rPr>
        <w:t xml:space="preserve"> </w:t>
      </w:r>
      <w:r w:rsidRPr="0044316F">
        <w:rPr>
          <w:rFonts w:ascii="Book Antiqua" w:hAnsi="Book Antiqua"/>
          <w:sz w:val="21"/>
          <w:szCs w:val="21"/>
        </w:rPr>
        <w:t>authorized Managing Director and the Executive Director in charge of Board Secretariat Department,</w:t>
      </w:r>
      <w:r>
        <w:rPr>
          <w:rFonts w:ascii="Book Antiqua" w:hAnsi="Book Antiqua"/>
          <w:sz w:val="21"/>
          <w:szCs w:val="21"/>
        </w:rPr>
        <w:t xml:space="preserve"> </w:t>
      </w:r>
      <w:r w:rsidRPr="0044316F">
        <w:rPr>
          <w:rFonts w:ascii="Book Antiqua" w:hAnsi="Book Antiqua"/>
          <w:sz w:val="21"/>
          <w:szCs w:val="21"/>
        </w:rPr>
        <w:t>Chief Financial Officer and the Company Secretary to determine the materiality of an event or</w:t>
      </w:r>
      <w:r>
        <w:rPr>
          <w:rFonts w:ascii="Book Antiqua" w:hAnsi="Book Antiqua"/>
          <w:sz w:val="21"/>
          <w:szCs w:val="21"/>
        </w:rPr>
        <w:t xml:space="preserve"> </w:t>
      </w:r>
      <w:r w:rsidRPr="0044316F">
        <w:rPr>
          <w:rFonts w:ascii="Book Antiqua" w:hAnsi="Book Antiqua"/>
          <w:sz w:val="21"/>
          <w:szCs w:val="21"/>
        </w:rPr>
        <w:t>information and for the purpose of making disclosures to the Stock Exchanges.</w:t>
      </w:r>
    </w:p>
    <w:p w14:paraId="73E42FE7" w14:textId="77777777" w:rsidR="0044316F" w:rsidRDefault="0044316F" w:rsidP="0044316F">
      <w:pPr>
        <w:ind w:right="-330"/>
        <w:jc w:val="both"/>
        <w:rPr>
          <w:rFonts w:ascii="Book Antiqua" w:hAnsi="Book Antiqu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245"/>
        <w:gridCol w:w="2241"/>
        <w:gridCol w:w="2251"/>
      </w:tblGrid>
      <w:tr w:rsidR="0044316F" w:rsidRPr="0044316F" w14:paraId="414AA1F8" w14:textId="77777777" w:rsidTr="0044316F">
        <w:tc>
          <w:tcPr>
            <w:tcW w:w="2254" w:type="dxa"/>
          </w:tcPr>
          <w:p w14:paraId="7DE6BA18" w14:textId="5E68208C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44316F">
              <w:rPr>
                <w:rFonts w:ascii="Book Antiqua" w:hAnsi="Book Antiqua"/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2254" w:type="dxa"/>
          </w:tcPr>
          <w:p w14:paraId="177E1F03" w14:textId="2EB48BA0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44316F">
              <w:rPr>
                <w:rFonts w:ascii="Book Antiqua" w:hAnsi="Book Antiqua"/>
                <w:b/>
                <w:bCs/>
                <w:sz w:val="21"/>
                <w:szCs w:val="21"/>
              </w:rPr>
              <w:t>Designation</w:t>
            </w:r>
          </w:p>
        </w:tc>
        <w:tc>
          <w:tcPr>
            <w:tcW w:w="2254" w:type="dxa"/>
          </w:tcPr>
          <w:p w14:paraId="5C7865F8" w14:textId="6385A55F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44316F">
              <w:rPr>
                <w:rFonts w:ascii="Book Antiqua" w:hAnsi="Book Antiqua"/>
                <w:b/>
                <w:bCs/>
                <w:sz w:val="21"/>
                <w:szCs w:val="21"/>
              </w:rPr>
              <w:t>Phone No</w:t>
            </w:r>
          </w:p>
        </w:tc>
        <w:tc>
          <w:tcPr>
            <w:tcW w:w="2254" w:type="dxa"/>
          </w:tcPr>
          <w:p w14:paraId="11ECB78F" w14:textId="4B722791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44316F">
              <w:rPr>
                <w:rFonts w:ascii="Book Antiqua" w:hAnsi="Book Antiqua"/>
                <w:b/>
                <w:bCs/>
                <w:sz w:val="21"/>
                <w:szCs w:val="21"/>
              </w:rPr>
              <w:t>Mail Id</w:t>
            </w:r>
          </w:p>
        </w:tc>
      </w:tr>
      <w:tr w:rsidR="0044316F" w:rsidRPr="0044316F" w14:paraId="49CB3CC8" w14:textId="77777777" w:rsidTr="0044316F">
        <w:tc>
          <w:tcPr>
            <w:tcW w:w="2254" w:type="dxa"/>
          </w:tcPr>
          <w:p w14:paraId="09658915" w14:textId="09788DED" w:rsidR="0044316F" w:rsidRPr="0044316F" w:rsidRDefault="0044316F" w:rsidP="0044316F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 xml:space="preserve">Mr. Balakrishnan </w:t>
            </w:r>
            <w:proofErr w:type="spellStart"/>
            <w:r w:rsidRPr="0044316F">
              <w:rPr>
                <w:rFonts w:ascii="Book Antiqua" w:hAnsi="Book Antiqua"/>
                <w:sz w:val="21"/>
                <w:szCs w:val="21"/>
              </w:rPr>
              <w:t>Sukumarbalakrishnan</w:t>
            </w:r>
            <w:proofErr w:type="spellEnd"/>
          </w:p>
        </w:tc>
        <w:tc>
          <w:tcPr>
            <w:tcW w:w="2254" w:type="dxa"/>
          </w:tcPr>
          <w:p w14:paraId="1748A500" w14:textId="74691550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Managing Director</w:t>
            </w:r>
          </w:p>
        </w:tc>
        <w:tc>
          <w:tcPr>
            <w:tcW w:w="2254" w:type="dxa"/>
          </w:tcPr>
          <w:p w14:paraId="58EEB795" w14:textId="1AB19968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044-28250545</w:t>
            </w:r>
          </w:p>
        </w:tc>
        <w:tc>
          <w:tcPr>
            <w:tcW w:w="2254" w:type="dxa"/>
          </w:tcPr>
          <w:p w14:paraId="5905AD03" w14:textId="56F68EC9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info@innokaiz.com</w:t>
            </w:r>
          </w:p>
        </w:tc>
      </w:tr>
      <w:tr w:rsidR="0044316F" w:rsidRPr="0044316F" w14:paraId="1F70A6C3" w14:textId="77777777" w:rsidTr="0044316F">
        <w:tc>
          <w:tcPr>
            <w:tcW w:w="2254" w:type="dxa"/>
          </w:tcPr>
          <w:p w14:paraId="55E290CE" w14:textId="735A8FF1" w:rsidR="0044316F" w:rsidRPr="0044316F" w:rsidRDefault="0044316F" w:rsidP="0044316F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Ms. Balaraman Suganthi</w:t>
            </w:r>
          </w:p>
        </w:tc>
        <w:tc>
          <w:tcPr>
            <w:tcW w:w="2254" w:type="dxa"/>
          </w:tcPr>
          <w:p w14:paraId="6FDA0B98" w14:textId="721E9FAD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CFO</w:t>
            </w:r>
          </w:p>
        </w:tc>
        <w:tc>
          <w:tcPr>
            <w:tcW w:w="2254" w:type="dxa"/>
          </w:tcPr>
          <w:p w14:paraId="1AFBC17A" w14:textId="3833DAE1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044-28250545</w:t>
            </w:r>
          </w:p>
        </w:tc>
        <w:tc>
          <w:tcPr>
            <w:tcW w:w="2254" w:type="dxa"/>
          </w:tcPr>
          <w:p w14:paraId="473A3784" w14:textId="3899C42B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cfo@innokaiz.com</w:t>
            </w:r>
          </w:p>
        </w:tc>
      </w:tr>
      <w:tr w:rsidR="0044316F" w:rsidRPr="0044316F" w14:paraId="0E5DA708" w14:textId="77777777" w:rsidTr="0044316F">
        <w:tc>
          <w:tcPr>
            <w:tcW w:w="2254" w:type="dxa"/>
          </w:tcPr>
          <w:p w14:paraId="65DCF37E" w14:textId="29CE18D4" w:rsidR="0044316F" w:rsidRPr="0044316F" w:rsidRDefault="0044316F" w:rsidP="0044316F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Ms. Mamta Saini</w:t>
            </w:r>
          </w:p>
        </w:tc>
        <w:tc>
          <w:tcPr>
            <w:tcW w:w="2254" w:type="dxa"/>
          </w:tcPr>
          <w:p w14:paraId="68761C9C" w14:textId="3C8439F0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Company Secretary &amp; Compliance officer</w:t>
            </w:r>
          </w:p>
        </w:tc>
        <w:tc>
          <w:tcPr>
            <w:tcW w:w="2254" w:type="dxa"/>
          </w:tcPr>
          <w:p w14:paraId="163485D5" w14:textId="7555F967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044-28250545</w:t>
            </w:r>
          </w:p>
        </w:tc>
        <w:tc>
          <w:tcPr>
            <w:tcW w:w="2254" w:type="dxa"/>
          </w:tcPr>
          <w:p w14:paraId="77FF0B33" w14:textId="1A202EBC" w:rsidR="0044316F" w:rsidRPr="0044316F" w:rsidRDefault="0044316F" w:rsidP="0044316F">
            <w:pPr>
              <w:ind w:right="-33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44316F">
              <w:rPr>
                <w:rFonts w:ascii="Book Antiqua" w:hAnsi="Book Antiqua"/>
                <w:sz w:val="21"/>
                <w:szCs w:val="21"/>
              </w:rPr>
              <w:t>cs@innokaiz.com</w:t>
            </w:r>
          </w:p>
        </w:tc>
      </w:tr>
    </w:tbl>
    <w:p w14:paraId="10D0997B" w14:textId="77777777" w:rsidR="0044316F" w:rsidRPr="0044316F" w:rsidRDefault="0044316F" w:rsidP="0044316F">
      <w:pPr>
        <w:ind w:right="-330"/>
        <w:jc w:val="both"/>
        <w:rPr>
          <w:rFonts w:ascii="Book Antiqua" w:hAnsi="Book Antiqua"/>
          <w:sz w:val="21"/>
          <w:szCs w:val="21"/>
        </w:rPr>
      </w:pPr>
    </w:p>
    <w:sectPr w:rsidR="0044316F" w:rsidRPr="00443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C4"/>
    <w:rsid w:val="000C7B8A"/>
    <w:rsid w:val="002355C1"/>
    <w:rsid w:val="00343DA3"/>
    <w:rsid w:val="0044316F"/>
    <w:rsid w:val="00640CB9"/>
    <w:rsid w:val="00B14BC4"/>
    <w:rsid w:val="00D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2B33"/>
  <w15:chartTrackingRefBased/>
  <w15:docId w15:val="{6A96AE0F-2379-4258-82DD-38B8CB7D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B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B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B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B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B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B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B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B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B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BC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4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 Singapore</dc:creator>
  <cp:keywords/>
  <dc:description/>
  <cp:lastModifiedBy>JSG Singapore</cp:lastModifiedBy>
  <cp:revision>2</cp:revision>
  <dcterms:created xsi:type="dcterms:W3CDTF">2026-01-31T11:58:00Z</dcterms:created>
  <dcterms:modified xsi:type="dcterms:W3CDTF">2026-01-31T12:05:00Z</dcterms:modified>
</cp:coreProperties>
</file>